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widowControl/>
        <w:jc w:val="both"/>
        <w:textAlignment w:val="center"/>
        <w:rPr>
          <w:rFonts w:ascii="方正小标宋简体" w:eastAsia="方正小标宋简体" w:cs="方正小标宋简体" w:hint="eastAsia"/>
          <w:color w:val="000000"/>
          <w:kern w:val="0"/>
          <w:sz w:val="32"/>
          <w:szCs w:val="32"/>
        </w:rPr>
      </w:pPr>
    </w:p>
    <w:p>
      <w:pPr>
        <w:widowControl/>
        <w:jc w:val="center"/>
        <w:textAlignment w:val="center"/>
        <w:rPr>
          <w:rFonts w:ascii="方正小标宋简体" w:eastAsia="方正小标宋简体" w:cs="方正小标宋简体"/>
          <w:color w:val="000000"/>
          <w:kern w:val="0"/>
          <w:sz w:val="32"/>
          <w:szCs w:val="32"/>
        </w:rPr>
      </w:pPr>
      <w:r>
        <w:rPr>
          <w:rFonts w:ascii="方正小标宋简体" w:eastAsia="方正小标宋简体" w:cs="方正小标宋简体" w:hint="eastAsia"/>
          <w:color w:val="000000"/>
          <w:kern w:val="0"/>
          <w:sz w:val="32"/>
          <w:szCs w:val="32"/>
        </w:rPr>
        <w:t>履职行权规程</w:t>
      </w:r>
    </w:p>
    <w:tbl>
      <w:tblPr>
        <w:jc w:val="center"/>
        <w:tblW w:w="106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851"/>
        <w:gridCol w:w="567"/>
        <w:gridCol w:w="850"/>
        <w:gridCol w:w="1568"/>
      </w:tblGrid>
      <w:tr>
        <w:trPr>
          <w:trHeight w:hRule="exact" w:val="417"/>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hint="eastAsia"/>
                <w:b/>
                <w:bCs/>
                <w:color w:val="000000"/>
                <w:szCs w:val="21"/>
                <w:lang w:val="en-US" w:eastAsia="zh-CN"/>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行政处罚</w:t>
            </w:r>
          </w:p>
        </w:tc>
        <w:tc>
          <w:tcPr>
            <w:tcW w:w="1418"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2418"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昌黎县自然资源和规划局</w:t>
            </w:r>
          </w:p>
        </w:tc>
      </w:tr>
      <w:tr>
        <w:trPr>
          <w:trHeight w:hRule="exact" w:val="47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9181" w:type="dxa"/>
            <w:gridSpan w:val="8"/>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Ansi="仿宋_GB2312" w:hint="eastAsia"/>
                <w:color w:val="000000"/>
                <w:kern w:val="0"/>
                <w:sz w:val="18"/>
                <w:szCs w:val="18"/>
              </w:rPr>
              <w:t>对破坏或者擅自改变基本农田保护区标志的处罚</w:t>
            </w:r>
          </w:p>
        </w:tc>
      </w:tr>
      <w:tr>
        <w:trPr>
          <w:trHeight w:hRule="exact" w:val="66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9181" w:type="dxa"/>
            <w:gridSpan w:val="8"/>
            <w:tcBorders>
              <w:tl2br w:val="nil"/>
              <w:tr2bl w:val="nil"/>
            </w:tcBorders>
            <w:shd w:val="clear" w:color="auto" w:fill="auto"/>
            <w:vAlign w:val="center"/>
          </w:tcPr>
          <w:p>
            <w:pPr>
              <w:widowControl w:val="0"/>
              <w:adjustRightInd/>
              <w:snapToGrid/>
              <w:spacing w:after="0" w:line="240" w:lineRule="auto"/>
              <w:jc w:val="center"/>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市级以上重点项目、跨乡镇区违法用地案件、黄金海岸北区由自然资源和规划局负责；</w:t>
            </w:r>
          </w:p>
          <w:p>
            <w:pPr>
              <w:widowControl w:val="0"/>
              <w:adjustRightInd/>
              <w:snapToGrid/>
              <w:spacing w:after="0" w:line="240" w:lineRule="auto"/>
              <w:jc w:val="center"/>
              <w:rPr>
                <w:rFonts w:ascii="黑体" w:eastAsia="黑体" w:cs="黑体" w:hAnsi="黑体"/>
                <w:color w:val="000000"/>
                <w:kern w:val="0"/>
                <w:sz w:val="18"/>
                <w:szCs w:val="18"/>
              </w:rPr>
            </w:pPr>
            <w:r>
              <w:rPr>
                <w:rFonts w:ascii="仿宋_GB2312" w:eastAsia="仿宋_GB2312" w:cs="黑体" w:hAnsi="Calibri" w:hint="eastAsia"/>
                <w:kern w:val="0"/>
                <w:sz w:val="18"/>
                <w:szCs w:val="18"/>
              </w:rPr>
              <w:t>其他区域由各乡镇（南区）政府负责</w:t>
            </w:r>
          </w:p>
        </w:tc>
      </w:tr>
      <w:tr>
        <w:trPr>
          <w:trHeight w:val="2132"/>
        </w:trPr>
        <w:tc>
          <w:tcPr>
            <w:tcW w:w="1463" w:type="dxa"/>
            <w:tcBorders>
              <w:tl2br w:val="nil"/>
              <w:tr2bl w:val="nil"/>
            </w:tcBorders>
            <w:shd w:val="clear" w:color="auto" w:fill="auto"/>
            <w:vAlign w:val="center"/>
          </w:tcPr>
          <w:p>
            <w:pPr>
              <w:widowControl w:val="0"/>
              <w:adjustRightInd/>
              <w:snapToGrid/>
              <w:spacing w:after="0" w:line="240" w:lineRule="exact"/>
              <w:jc w:val="center"/>
              <w:rPr>
                <w:rFonts w:ascii="黑体" w:eastAsia="黑体" w:cs="仿宋_GB2312" w:hAnsi="黑体" w:hint="eastAsia"/>
                <w:kern w:val="0"/>
                <w:sz w:val="18"/>
                <w:szCs w:val="18"/>
              </w:rPr>
            </w:pPr>
            <w:r>
              <w:rPr>
                <w:rFonts w:ascii="黑体" w:eastAsia="黑体" w:cs="仿宋_GB2312" w:hAnsi="黑体" w:hint="eastAsia"/>
                <w:kern w:val="0"/>
                <w:sz w:val="18"/>
                <w:szCs w:val="18"/>
              </w:rPr>
              <w:t>履职依据</w:t>
            </w:r>
          </w:p>
        </w:tc>
        <w:tc>
          <w:tcPr>
            <w:tcW w:w="9181" w:type="dxa"/>
            <w:gridSpan w:val="8"/>
            <w:tcBorders>
              <w:tl2br w:val="nil"/>
              <w:tr2bl w:val="nil"/>
            </w:tcBorders>
            <w:shd w:val="clear" w:color="auto" w:fill="auto"/>
            <w:vAlign w:val="center"/>
          </w:tcPr>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【法律法规】</w:t>
            </w:r>
          </w:p>
          <w:p>
            <w:pPr>
              <w:widowControl w:val="0"/>
              <w:adjustRightInd/>
              <w:snapToGrid/>
              <w:spacing w:after="0" w:line="240" w:lineRule="exact"/>
              <w:jc w:val="both"/>
              <w:rPr>
                <w:rFonts w:ascii="仿宋" w:eastAsia="仿宋" w:cs="仿宋_GB2312" w:hAnsi="仿宋" w:hint="eastAsia"/>
                <w:color w:val="000000"/>
                <w:kern w:val="0"/>
                <w:sz w:val="18"/>
                <w:szCs w:val="18"/>
              </w:rPr>
            </w:pPr>
            <w:r>
              <w:rPr>
                <w:rFonts w:ascii="仿宋" w:eastAsia="仿宋" w:cs="仿宋_GB2312" w:hAnsi="仿宋" w:hint="eastAsia"/>
                <w:color w:val="000000"/>
                <w:kern w:val="0"/>
                <w:sz w:val="18"/>
                <w:szCs w:val="18"/>
              </w:rPr>
              <w:t>《</w:t>
            </w:r>
            <w:r>
              <w:rPr>
                <w:rFonts w:ascii="仿宋" w:eastAsia="仿宋" w:cs="仿宋_GB2312" w:hAnsi="仿宋"/>
                <w:color w:val="000000"/>
                <w:kern w:val="0"/>
                <w:sz w:val="18"/>
                <w:szCs w:val="18"/>
              </w:rPr>
              <w:t>中华人民共和国</w:t>
            </w:r>
            <w:r>
              <w:rPr>
                <w:rFonts w:ascii="仿宋" w:eastAsia="仿宋" w:cs="仿宋_GB2312" w:hAnsi="仿宋" w:hint="eastAsia"/>
                <w:color w:val="000000"/>
                <w:kern w:val="0"/>
                <w:sz w:val="18"/>
                <w:szCs w:val="18"/>
              </w:rPr>
              <w:t xml:space="preserve">基本农田保护条例》第三十二条 违反本条例规定，破坏或者擅自改变基本农田保护区标志的，由县级以上地方人民政府土地行政主管部门或者农业行政主管部门责令恢复原状，可以处1000元以下罚款。   </w:t>
            </w:r>
          </w:p>
          <w:p>
            <w:pPr>
              <w:widowControl w:val="0"/>
              <w:adjustRightInd/>
              <w:snapToGrid/>
              <w:spacing w:after="0" w:line="240" w:lineRule="exact"/>
              <w:jc w:val="both"/>
              <w:rPr>
                <w:rFonts w:ascii="黑体" w:eastAsia="黑体" w:cs="仿宋_GB2312" w:hAnsi="黑体" w:hint="eastAsia"/>
                <w:kern w:val="0"/>
                <w:sz w:val="18"/>
                <w:szCs w:val="18"/>
              </w:rPr>
            </w:pPr>
            <w:r>
              <w:rPr>
                <w:rFonts w:ascii="黑体" w:eastAsia="黑体" w:cs="仿宋_GB2312" w:hAnsi="黑体" w:hint="eastAsia"/>
                <w:kern w:val="0"/>
                <w:sz w:val="18"/>
                <w:szCs w:val="18"/>
              </w:rPr>
              <w:t>【三定规定】</w:t>
            </w:r>
          </w:p>
          <w:p>
            <w:pPr>
              <w:widowControl w:val="0"/>
              <w:adjustRightInd/>
              <w:snapToGrid/>
              <w:spacing w:after="0" w:line="240" w:lineRule="exact"/>
              <w:jc w:val="both"/>
              <w:rPr>
                <w:rFonts w:ascii="黑体" w:eastAsia="黑体" w:cs="仿宋_GB2312" w:hAnsi="黑体" w:hint="eastAsia"/>
                <w:kern w:val="0"/>
                <w:sz w:val="18"/>
                <w:szCs w:val="18"/>
              </w:rPr>
            </w:pPr>
            <w:r>
              <w:rPr>
                <w:rFonts w:ascii="仿宋_GB2312" w:eastAsia="仿宋_GB2312" w:cs="黑体" w:hAnsi="黑体" w:hint="eastAsia"/>
                <w:color w:val="000000"/>
                <w:kern w:val="2"/>
                <w:sz w:val="18"/>
                <w:szCs w:val="18"/>
              </w:rPr>
              <w:t>昌办字〔2019〕39号第（三十三）条。</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146"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417"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568"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立案</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经初步了解案件后，依法立案或不予立案（不予立案应当告知理由）</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调查取证</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制作现场勘验笔录、调查询问笔录、搜集相关文件资料、现场拍照录像等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审查</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执法主体是否合法、事实是否清楚、证据是否合法充分、适用法律是否准确、执法程序是否合法等</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决定</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 w:val="18"/>
                <w:szCs w:val="18"/>
              </w:rPr>
            </w:pPr>
            <w:r>
              <w:rPr>
                <w:rFonts w:ascii="仿宋_GB2312" w:eastAsia="仿宋_GB2312" w:cs="黑体" w:hAnsi="黑体" w:hint="eastAsia"/>
                <w:color w:val="000000"/>
                <w:sz w:val="18"/>
                <w:szCs w:val="18"/>
              </w:rPr>
              <w:t>制作事先告知书（听证告知书）、处罚决定书</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hRule="exact" w:val="59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仿宋_GB2312" w:eastAsia="仿宋_GB2312" w:cs="黑体" w:hAnsi="黑体"/>
                <w:color w:val="000000"/>
                <w:sz w:val="18"/>
                <w:szCs w:val="18"/>
              </w:rPr>
            </w:pPr>
            <w:r>
              <w:rPr>
                <w:rFonts w:ascii="仿宋_GB2312" w:eastAsia="仿宋_GB2312" w:cs="黑体" w:hAnsi="黑体" w:hint="eastAsia"/>
                <w:color w:val="000000"/>
                <w:sz w:val="18"/>
                <w:szCs w:val="18"/>
              </w:rPr>
              <w:t>送达</w:t>
            </w:r>
          </w:p>
        </w:tc>
        <w:tc>
          <w:tcPr>
            <w:tcW w:w="5146" w:type="dxa"/>
            <w:gridSpan w:val="4"/>
            <w:tcBorders>
              <w:tl2br w:val="nil"/>
              <w:tr2bl w:val="nil"/>
            </w:tcBorders>
            <w:shd w:val="clear" w:color="auto" w:fill="auto"/>
            <w:vAlign w:val="center"/>
          </w:tcPr>
          <w:p>
            <w:pPr>
              <w:rPr>
                <w:rFonts w:ascii="仿宋_GB2312" w:eastAsia="仿宋_GB2312" w:cs="黑体" w:hAnsi="黑体"/>
                <w:color w:val="000000"/>
                <w:szCs w:val="21"/>
              </w:rPr>
            </w:pPr>
            <w:r>
              <w:rPr>
                <w:rFonts w:ascii="仿宋_GB2312" w:eastAsia="仿宋_GB2312" w:cs="黑体" w:hAnsi="黑体" w:hint="eastAsia"/>
                <w:color w:val="000000"/>
                <w:sz w:val="18"/>
                <w:szCs w:val="18"/>
              </w:rPr>
              <w:t>送达相关文书，告知行政复议和行政诉讼等救济权利</w:t>
            </w:r>
          </w:p>
        </w:tc>
        <w:tc>
          <w:tcPr>
            <w:tcW w:w="1417" w:type="dxa"/>
            <w:gridSpan w:val="2"/>
            <w:tcBorders>
              <w:tl2br w:val="nil"/>
              <w:tr2bl w:val="nil"/>
            </w:tcBorders>
            <w:shd w:val="clear" w:color="auto" w:fill="auto"/>
            <w:vAlign w:val="center"/>
          </w:tcPr>
          <w:p>
            <w:pPr>
              <w:jc w:val="center"/>
              <w:rPr>
                <w:rFonts w:ascii="仿宋_GB2312" w:eastAsia="仿宋_GB2312" w:cs="黑体" w:hAnsi="黑体"/>
                <w:color w:val="000000"/>
                <w:sz w:val="18"/>
                <w:szCs w:val="18"/>
              </w:rPr>
            </w:pPr>
          </w:p>
        </w:tc>
        <w:tc>
          <w:tcPr>
            <w:tcW w:w="1568" w:type="dxa"/>
            <w:tcBorders>
              <w:tl2br w:val="nil"/>
              <w:tr2bl w:val="nil"/>
            </w:tcBorders>
            <w:shd w:val="clear" w:color="auto" w:fill="auto"/>
          </w:tcPr>
          <w:p>
            <w:r>
              <w:rPr>
                <w:rFonts w:ascii="仿宋_GB2312" w:eastAsia="仿宋_GB2312" w:cs="黑体" w:hAnsi="黑体" w:hint="eastAsia"/>
                <w:color w:val="000000"/>
                <w:sz w:val="18"/>
                <w:szCs w:val="18"/>
              </w:rPr>
              <w:t>执法监察大队、黄金海岸分局</w:t>
            </w:r>
          </w:p>
        </w:tc>
      </w:tr>
      <w:tr>
        <w:trPr>
          <w:trHeight w:val="3585"/>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9181" w:type="dxa"/>
            <w:gridSpan w:val="8"/>
            <w:tcBorders>
              <w:tl2br w:val="nil"/>
              <w:tr2bl w:val="nil"/>
            </w:tcBorders>
            <w:shd w:val="clear" w:color="auto" w:fill="auto"/>
            <w:vAlign w:val="center"/>
          </w:tcPr>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因不履行或不正确履行行政职责，有下列情形的，行政机关及相关工作人员应承担相应责任：</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1、没有法律和事实依据实施行政处罚的；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2、擅自改变行政处罚种类、幅度的；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3、违反法定程序进行行政处罚的；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4、违反委托处罚规定的；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5、对违法行为未依法制止的；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6、应当依法立案查处，无正当理由未依法立案查处的；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7、在制止以及查处违法案件中受阻，依照有关规定应当向本级人民政府或者上级国土资源主管部门报告而未报告的；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8、符合听证条件、行政管理相对人要求听证，应予组织听证而不组织听证的。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9、应当依法进行行政处罚而未依法处罚的；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10、应当依法移送追究刑事责任，而未依法移送有权机关的；</w:t>
            </w:r>
          </w:p>
          <w:p>
            <w:pPr>
              <w:widowControl w:val="0"/>
              <w:autoSpaceDE w:val="0"/>
              <w:autoSpaceDN w:val="0"/>
              <w:adjustRightInd w:val="0"/>
              <w:snapToGrid/>
              <w:spacing w:after="0" w:line="240" w:lineRule="exact"/>
              <w:jc w:val="both"/>
              <w:rPr>
                <w:rFonts w:ascii="仿宋_GB2312" w:eastAsia="仿宋_GB2312" w:cs="黑体" w:hAnsi="Calibri" w:hint="eastAsia"/>
                <w:kern w:val="0"/>
                <w:sz w:val="18"/>
                <w:szCs w:val="18"/>
              </w:rPr>
            </w:pPr>
            <w:r>
              <w:rPr>
                <w:rFonts w:ascii="仿宋_GB2312" w:eastAsia="仿宋_GB2312" w:cs="黑体" w:hAnsi="Calibri" w:hint="eastAsia"/>
                <w:kern w:val="0"/>
                <w:sz w:val="18"/>
                <w:szCs w:val="18"/>
              </w:rPr>
              <w:t>11、在行政处罚过程中发生腐败行为的；</w:t>
            </w:r>
          </w:p>
          <w:p>
            <w:pPr>
              <w:widowControl w:val="0"/>
              <w:autoSpaceDE w:val="0"/>
              <w:autoSpaceDN w:val="0"/>
              <w:adjustRightInd w:val="0"/>
              <w:snapToGrid/>
              <w:spacing w:after="0" w:line="240" w:lineRule="exact"/>
              <w:jc w:val="both"/>
              <w:rPr>
                <w:rFonts w:ascii="黑体" w:eastAsia="黑体" w:cs="黑体"/>
                <w:color w:val="000000"/>
                <w:szCs w:val="21"/>
              </w:rPr>
            </w:pPr>
            <w:r>
              <w:rPr>
                <w:rFonts w:ascii="仿宋_GB2312" w:eastAsia="仿宋_GB2312" w:cs="黑体" w:hAnsi="Calibri" w:hint="eastAsia"/>
                <w:kern w:val="0"/>
                <w:sz w:val="18"/>
                <w:szCs w:val="18"/>
              </w:rPr>
              <w:t>12、其他违反法律法规规章文件规定的行为。</w:t>
            </w:r>
          </w:p>
        </w:tc>
      </w:tr>
      <w:tr>
        <w:trPr>
          <w:trHeight w:val="63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9181" w:type="dxa"/>
            <w:gridSpan w:val="8"/>
            <w:tcBorders>
              <w:tl2br w:val="nil"/>
              <w:tr2bl w:val="nil"/>
            </w:tcBorders>
            <w:shd w:val="clear" w:color="auto" w:fill="auto"/>
            <w:vAlign w:val="center"/>
          </w:tcPr>
          <w:p>
            <w:pPr>
              <w:widowControl/>
              <w:adjustRightInd/>
              <w:snapToGrid/>
              <w:spacing w:after="0" w:line="240" w:lineRule="exact"/>
              <w:jc w:val="left"/>
              <w:textAlignment w:val="center"/>
              <w:rPr>
                <w:rFonts w:ascii="仿宋_GB2312" w:eastAsia="仿宋_GB2312" w:cs="黑体" w:hAnsi="黑体" w:hint="eastAsia"/>
                <w:color w:val="000000"/>
                <w:kern w:val="0"/>
                <w:sz w:val="18"/>
                <w:szCs w:val="18"/>
              </w:rPr>
            </w:pPr>
            <w:r>
              <w:rPr>
                <w:rFonts w:ascii="仿宋_GB2312" w:eastAsia="仿宋_GB2312" w:cs="黑体" w:hAnsi="黑体" w:hint="eastAsia"/>
                <w:color w:val="000000"/>
                <w:kern w:val="0"/>
                <w:sz w:val="18"/>
                <w:szCs w:val="18"/>
              </w:rPr>
              <w:t>1.业务咨询：0335-2861320</w:t>
              <w:br/>
              <w:t>2.投诉举报电话：0335-2022626</w:t>
            </w:r>
          </w:p>
          <w:p>
            <w:pPr>
              <w:widowControl/>
              <w:adjustRightInd/>
              <w:snapToGrid/>
              <w:spacing w:after="0" w:line="240" w:lineRule="exact"/>
              <w:jc w:val="left"/>
              <w:textAlignment w:val="center"/>
              <w:rPr>
                <w:rFonts w:ascii="黑体" w:eastAsia="黑体" w:cs="黑体"/>
                <w:color w:val="000000"/>
                <w:sz w:val="24"/>
              </w:rPr>
            </w:pPr>
            <w:r>
              <w:rPr>
                <w:rFonts w:ascii="仿宋_GB2312" w:eastAsia="仿宋_GB2312" w:cs="黑体" w:hAnsi="黑体" w:hint="eastAsia"/>
                <w:color w:val="000000"/>
                <w:kern w:val="0"/>
                <w:sz w:val="18"/>
                <w:szCs w:val="18"/>
              </w:rPr>
              <w:t>3.纪检监察投诉：县纪委第四派驻纪检监察组，电话：0335-2608801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9181" w:type="dxa"/>
            <w:gridSpan w:val="8"/>
            <w:tcBorders>
              <w:tl2br w:val="nil"/>
              <w:tr2bl w:val="nil"/>
            </w:tcBorders>
            <w:shd w:val="clear" w:color="auto" w:fill="auto"/>
            <w:vAlign w:val="center"/>
          </w:tcPr>
          <w:p>
            <w:pPr>
              <w:widowControl/>
              <w:adjustRightInd/>
              <w:snapToGrid/>
              <w:spacing w:after="0" w:line="240" w:lineRule="auto"/>
              <w:jc w:val="left"/>
              <w:textAlignment w:val="center"/>
              <w:rPr>
                <w:rFonts w:ascii="仿宋_GB2312" w:eastAsia="仿宋_GB2312" w:cs="仿宋_GB2312" w:hAnsi="Calibri" w:hint="eastAsia"/>
                <w:color w:val="000000"/>
                <w:kern w:val="0"/>
                <w:sz w:val="18"/>
                <w:szCs w:val="18"/>
              </w:rPr>
            </w:pPr>
            <w:r>
              <w:rPr>
                <w:rFonts w:ascii="仿宋_GB2312" w:eastAsia="仿宋_GB2312" w:cs="仿宋_GB2312" w:hint="eastAsia"/>
                <w:color w:val="000000"/>
                <w:kern w:val="0"/>
                <w:sz w:val="18"/>
                <w:szCs w:val="18"/>
              </w:rPr>
              <w:t>1</w:t>
            </w:r>
            <w:r>
              <w:rPr>
                <w:rFonts w:ascii="仿宋_GB2312" w:eastAsia="仿宋_GB2312" w:cs="仿宋_GB2312" w:hAnsi="Calibri" w:hint="eastAsia"/>
                <w:color w:val="000000"/>
                <w:kern w:val="0"/>
                <w:sz w:val="18"/>
                <w:szCs w:val="18"/>
              </w:rPr>
              <w:t>．不服许可决定自知道该具体行政行为之日起六十日内向</w:t>
            </w:r>
            <w:r>
              <w:rPr>
                <w:rFonts w:ascii="仿宋_GB2312" w:eastAsia="仿宋_GB2312" w:cs="仿宋_GB2312" w:hAnsi="Calibri" w:hint="eastAsia"/>
                <w:color w:val="000000"/>
                <w:kern w:val="0"/>
                <w:sz w:val="18"/>
                <w:szCs w:val="18"/>
                <w:lang w:eastAsia="zh-CN"/>
              </w:rPr>
              <w:t>县</w:t>
            </w:r>
            <w:r>
              <w:rPr>
                <w:rFonts w:ascii="仿宋_GB2312" w:eastAsia="仿宋_GB2312" w:cs="仿宋_GB2312" w:hAnsi="Calibri" w:hint="eastAsia"/>
                <w:color w:val="000000"/>
                <w:kern w:val="0"/>
                <w:sz w:val="18"/>
                <w:szCs w:val="18"/>
              </w:rPr>
              <w:t>政府申请行政复议。</w:t>
            </w:r>
          </w:p>
          <w:p>
            <w:pPr>
              <w:widowControl/>
              <w:adjustRightInd/>
              <w:snapToGrid/>
              <w:spacing w:after="0" w:line="240" w:lineRule="auto"/>
              <w:jc w:val="left"/>
              <w:textAlignment w:val="center"/>
              <w:rPr>
                <w:rFonts w:ascii="黑体" w:eastAsia="黑体" w:cs="黑体"/>
                <w:b/>
                <w:bCs/>
                <w:color w:val="000000"/>
                <w:szCs w:val="21"/>
              </w:rPr>
            </w:pPr>
            <w:r>
              <w:rPr>
                <w:rFonts w:ascii="仿宋_GB2312" w:eastAsia="仿宋_GB2312" w:cs="仿宋_GB2312" w:hAnsi="Calibri" w:hint="eastAsia"/>
                <w:color w:val="000000"/>
                <w:kern w:val="0"/>
                <w:sz w:val="18"/>
                <w:szCs w:val="18"/>
              </w:rPr>
              <w:t>2．不服许可决定应当自知道或者应当知道作出行政行为之日起六个月内提出向</w:t>
            </w:r>
            <w:r>
              <w:rPr>
                <w:rFonts w:ascii="仿宋_GB2312" w:eastAsia="仿宋_GB2312" w:cs="仿宋_GB2312" w:hAnsi="Calibri" w:hint="eastAsia"/>
                <w:color w:val="000000"/>
                <w:kern w:val="0"/>
                <w:sz w:val="18"/>
                <w:szCs w:val="18"/>
                <w:lang w:eastAsia="zh-CN"/>
              </w:rPr>
              <w:t>昌黎县</w:t>
            </w:r>
            <w:r>
              <w:rPr>
                <w:rFonts w:ascii="仿宋_GB2312" w:eastAsia="仿宋_GB2312" w:cs="仿宋_GB2312" w:hAnsi="Calibri" w:hint="eastAsia"/>
                <w:color w:val="000000"/>
                <w:kern w:val="0"/>
                <w:sz w:val="18"/>
                <w:szCs w:val="18"/>
              </w:rPr>
              <w:t>人民法院提起行政诉讼。</w:t>
            </w:r>
          </w:p>
        </w:tc>
      </w:tr>
      <w:tr>
        <w:trPr>
          <w:trHeight w:val="228"/>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9181"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220" w:lineRule="atLeast"/>
      </w:pPr>
    </w:p>
    <w:sectPr>
      <w:pgSz w:w="11906" w:h="16838"/>
      <w:pgMar w:top="720" w:right="720" w:bottom="720" w:left="720" w:header="708" w:footer="708" w:gutter="0"/>
      <w:cols w:num="1" w:space="708"/>
      <w:docGrid w:linePitch="360"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Calibri">
    <w:panose1 w:val="020F0502020204030204"/>
    <w:charset w:val="00"/>
    <w:family w:val="swiss"/>
    <w:pitch w:val="variable"/>
    <w:sig w:usb0="E00002FF" w:usb1="4000ACFF" w:usb2="00000001" w:usb3="00000000" w:csb0="2000019F"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1"/>
    <w:family w:val="swiss"/>
    <w:pitch w:val="variable"/>
    <w:sig w:usb0="E0002AFF" w:usb1="C0007843" w:usb2="00000009" w:usb3="00000000" w:csb0="400001FF" w:csb1="FFFF0000"/>
  </w:font>
  <w:font w:name="Tahoma">
    <w:panose1 w:val="020B0604030504040204"/>
    <w:charset w:val="00"/>
    <w:family w:val="swiss"/>
    <w:pitch w:val="variable"/>
    <w:sig w:usb0="E1002EFF" w:usb1="C000605B" w:usb2="00000029" w:usb3="00000000" w:csb0="200101FF" w:csb1="2028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720"/>
  <w:drawingGridHorizontalSpacing w:val="110"/>
  <w:drawingGridVerticalSpacing w:val="156"/>
  <w:displayHorizontalDrawingGridEvery w:val="0"/>
  <w:displayVerticalDrawingGridEvery w:val="1"/>
  <w:compat>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adjustRightInd w:val="0"/>
      <w:snapToGrid w:val="0"/>
      <w:spacing w:after="200" w:line="240" w:lineRule="auto"/>
    </w:pPr>
    <w:rPr>
      <w:rFonts w:ascii="Tahoma" w:eastAsia="微软雅黑" w:cs="Arial" w:hAnsi="Tahoma"/>
      <w:sz w:val="22"/>
      <w:szCs w:val="22"/>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864BEA63-0E29-4CBF-AC6A-ECF5D3EA8439}">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0</TotalTime>
  <Application>Yozo_Office27021597764231179</Application>
  <Pages>1</Pages>
  <Words>0</Words>
  <Characters>806</Characters>
  <Lines>0</Lines>
  <Paragraphs>4</Paragraphs>
  <CharactersWithSpaces>1075</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hp</cp:lastModifiedBy>
  <cp:revision>0</cp:revision>
  <dcterms:created xsi:type="dcterms:W3CDTF">2008-09-11T17:20:00Z</dcterms:created>
  <dcterms:modified xsi:type="dcterms:W3CDTF">2024-09-29T01:20:26Z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F9155BE5DD5846CDA61A7C3AD6ABDCFF_12</vt:lpwstr>
  </property>
</Properties>
</file>